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tbl>
      <w:tblPr>
        <w:tblStyle w:val="9"/>
        <w:tblpPr w:leftFromText="180" w:rightFromText="180" w:vertAnchor="text" w:horzAnchor="page" w:tblpX="964" w:tblpY="578"/>
        <w:tblOverlap w:val="never"/>
        <w:tblW w:w="103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1843"/>
        <w:gridCol w:w="549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4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现有学生社团汇总表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社团类型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社团名称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思想政治类</w:t>
            </w:r>
            <w:r>
              <w:rPr>
                <w:rStyle w:val="14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14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3</w:t>
            </w: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个）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马克思主义读书协会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学习习近平新时代思想社团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国旗班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文化艺术类</w:t>
            </w:r>
            <w:r>
              <w:rPr>
                <w:rStyle w:val="14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14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2</w:t>
            </w:r>
            <w:r>
              <w:rPr>
                <w:rStyle w:val="14"/>
                <w:rFonts w:hint="eastAsia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3</w:t>
            </w: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个）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青年志愿者协会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书画协会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音乐社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主持团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礼仪团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合唱团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舞蹈团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摄影协会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汉服社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古筝协会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舞狮协会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滑板社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H-Fly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轮滑协会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茶艺协会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梦忆话剧社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翼动漫社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心灵成长社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雷动鬼步舞协会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Eleven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街舞社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B-box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说唱社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奇幻魔术协会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棋艺爱好者协会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争鸣辩论社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体育爱好类</w:t>
            </w:r>
            <w:r>
              <w:rPr>
                <w:rStyle w:val="14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14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13</w:t>
            </w: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个）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网球协会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武术社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跆拳道社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台球社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排球协会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乒乓球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绿茵足球社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游泳协会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啦啦操协会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英语爱好者协会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羽乐无限协会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篮球协会</w:t>
            </w:r>
            <w:r>
              <w:rPr>
                <w:rStyle w:val="16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健康运动协会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学术科技类</w:t>
            </w:r>
            <w:r>
              <w:rPr>
                <w:rStyle w:val="14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（</w:t>
            </w:r>
            <w:r>
              <w:rPr>
                <w:rStyle w:val="14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1</w:t>
            </w:r>
            <w:r>
              <w:rPr>
                <w:rStyle w:val="14"/>
                <w:rFonts w:hint="eastAsia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4</w:t>
            </w:r>
            <w:r>
              <w:rPr>
                <w:rStyle w:val="13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个）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青春重工新媒体协会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就业服务发展协会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电竞社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阳光化学协会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数字建模协会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汽车维修协会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会计职业技能协会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企业经营模拟沙盘协会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电器维修协会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自动化生产线协会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机器人协会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ISEA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计算机协会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 w:bidi="ar"/>
              </w:rPr>
              <w:t>陶艺社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atLeas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446" w:bottom="1440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7071"/>
    <w:rsid w:val="01164012"/>
    <w:rsid w:val="02FD587B"/>
    <w:rsid w:val="08D1423D"/>
    <w:rsid w:val="143C661C"/>
    <w:rsid w:val="18F61110"/>
    <w:rsid w:val="20244E08"/>
    <w:rsid w:val="232D61FD"/>
    <w:rsid w:val="282E3CC1"/>
    <w:rsid w:val="2D0469AC"/>
    <w:rsid w:val="2F870641"/>
    <w:rsid w:val="3B4B21C8"/>
    <w:rsid w:val="4A2F0542"/>
    <w:rsid w:val="4B527E39"/>
    <w:rsid w:val="4CD629A9"/>
    <w:rsid w:val="6D535020"/>
    <w:rsid w:val="6F252834"/>
    <w:rsid w:val="75B17071"/>
    <w:rsid w:val="7B5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font21"/>
    <w:basedOn w:val="7"/>
    <w:qFormat/>
    <w:uiPriority w:val="0"/>
    <w:rPr>
      <w:rFonts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13">
    <w:name w:val="font1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2018-06-26T14:14:00Z</dcterms:created>
  <dc:creator>CR7</dc:creator>
  <cp:lastModifiedBy>YMQ</cp:lastModifiedBy>
  <cp:lastPrinted>2018-06-28T07:46:00Z</cp:lastPrinted>
  <dcterms:modified xsi:type="dcterms:W3CDTF">2018-06-28T08:00:14Z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