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附件</w:t>
      </w:r>
      <w:r>
        <w:rPr>
          <w:rFonts w:hint="eastAsia" w:ascii="方正黑体_GBK" w:hAnsi="方正黑体_GBK" w:eastAsia="方正黑体_GBK" w:cs="方正黑体_GBK"/>
          <w:bCs/>
          <w:lang w:val="en-US" w:eastAsia="zh-CN"/>
        </w:rPr>
        <w:t>2</w:t>
      </w:r>
    </w:p>
    <w:p>
      <w:pPr>
        <w:spacing w:line="600" w:lineRule="exact"/>
        <w:ind w:right="-320" w:rightChars="-100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重庆工业职业技术学院</w:t>
      </w:r>
      <w:r>
        <w:rPr>
          <w:rFonts w:hint="eastAsia" w:ascii="方正小标宋_GBK" w:eastAsia="方正小标宋_GBK"/>
          <w:bCs/>
          <w:sz w:val="36"/>
          <w:szCs w:val="36"/>
        </w:rPr>
        <w:t>第四届“互联网+”创</w:t>
      </w: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新</w:t>
      </w:r>
      <w:r>
        <w:rPr>
          <w:rFonts w:hint="eastAsia" w:ascii="方正小标宋_GBK" w:eastAsia="方正小标宋_GBK"/>
          <w:bCs/>
          <w:sz w:val="36"/>
          <w:szCs w:val="36"/>
        </w:rPr>
        <w:t>创业大赛</w:t>
      </w: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各二级学院申报项目指标数</w:t>
      </w:r>
      <w:bookmarkEnd w:id="0"/>
    </w:p>
    <w:p>
      <w:pPr>
        <w:spacing w:line="4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734"/>
        <w:gridCol w:w="3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序号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二级学院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申报指标数（不少于）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财经学院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机械工程学院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建筑工程与艺术设计学院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车辆工程学院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智能制造技术学院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管理与航空服务学院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信息工程学院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化学与制药工程学院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合    计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hint="eastAsia" w:eastAsia="方正仿宋_GBK"/>
                <w:sz w:val="24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bCs/>
        </w:rPr>
      </w:pPr>
    </w:p>
    <w:p>
      <w:pPr>
        <w:spacing w:line="600" w:lineRule="exact"/>
        <w:rPr>
          <w:rFonts w:ascii="方正仿宋_GBK" w:hAnsi="方正仿宋_GBK" w:eastAsia="方正仿宋_GBK" w:cs="方正仿宋_GBK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489B"/>
    <w:rsid w:val="09AD52E9"/>
    <w:rsid w:val="4B094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2018-03-29T03:09:00Z</dcterms:created>
  <dc:creator>Administrator</dc:creator>
  <cp:lastModifiedBy>Administrator</cp:lastModifiedBy>
  <dcterms:modified xsi:type="dcterms:W3CDTF">2018-03-29T03:09:57Z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